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Default Extension="fntdata" ContentType="application/x-fontdata"/>
  <Override PartName="/word/styles.xml" ContentType="application/vnd.openxmlformats-officedocument.wordprocessingml.styles+xml"/>
  <Override PartName="/word/footer1.xml" ContentType="application/vnd.openxmlformats-officedocument.wordprocessingml.footer+xml"/>
  <Override PartName="/word/footer2.xml" ContentType="application/vnd.openxmlformats-officedocument.wordprocessingml.footer+xml"/>
  <Override PartName="/word/document.xml" ContentType="application/vnd.openxmlformats-officedocument.wordprocessingml.document.main+xml"/>
  <Override PartName="/word/numbering.xml" ContentType="application/vnd.openxmlformats-officedocument.wordprocessingml.numbering+xml"/>
  <Override PartName="/word/footer3.xml" ContentType="application/vnd.openxmlformats-officedocument.wordprocessingml.footer+xml"/>
  <Override PartName="/word/settings.xml" ContentType="application/vnd.openxmlformats-officedocument.wordprocessingml.settings+xml"/>
  <Override PartName="/word/fontTable.xml" ContentType="application/vnd.openxmlformats-officedocument.wordprocessingml.fontTable+xml"/>
  <Override PartName="/word/theme/theme1.xml" ContentType="application/vnd.openxmlformats-officedocument.theme+xml"/>
  <Override PartName="/word/_rels/document.xml.rels" ContentType="application/vnd.openxmlformats-package.relationships+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lang w:val="tr-TR"/>
        </w:rPr>
      </w:pPr>
      <w:r>
        <w:rPr>
          <w:lang w:val="tr-TR"/>
        </w:rPr>
      </w:r>
    </w:p>
    <w:p>
      <w:pPr>
        <w:pStyle w:val="Normal"/>
        <w:bidi w:val="0"/>
        <w:jc w:val="left"/>
        <w:rPr>
          <w:lang w:val="tr-TR"/>
        </w:rPr>
      </w:pPr>
      <w:r>
        <w:rPr>
          <w:lang w:val="tr-TR"/>
        </w:rPr>
      </w:r>
    </w:p>
    <w:p>
      <w:pPr>
        <w:pStyle w:val="CitBas"/>
        <w:rPr/>
      </w:pPr>
      <w:r>
        <w:rPr/>
        <w:t xml:space="preserve">Matta 16:19-20 </w:t>
      </w:r>
    </w:p>
    <w:p>
      <w:pPr>
        <w:pStyle w:val="Cit"/>
        <w:rPr/>
      </w:pPr>
      <w:r>
        <w:rPr/>
        <w:t xml:space="preserve">Gökün krallığının anahtarlarını sana verecem. </w:t>
      </w:r>
    </w:p>
    <w:p>
      <w:pPr>
        <w:pStyle w:val="Cit"/>
        <w:rPr/>
      </w:pPr>
      <w:r>
        <w:rPr/>
        <w:t>Yeryüzünde her neyi bağlarsan, o gökte de bağlanacak. Ve yeryüzünde her neyi çözersen, o gökte de çözülecek."</w:t>
      </w:r>
    </w:p>
    <w:p>
      <w:pPr>
        <w:pStyle w:val="Cit"/>
        <w:rPr/>
      </w:pPr>
      <w:r>
        <w:rPr/>
        <w:t>20 Sonra İsa öğrencilere çok sıkı ısmarladı, O'nun Mesih olduğunu hiç kimseye anlatmasınlar.</w:t>
      </w:r>
    </w:p>
    <w:p>
      <w:pPr>
        <w:pStyle w:val="Heading1"/>
        <w:numPr>
          <w:ilvl w:val="0"/>
          <w:numId w:val="2"/>
        </w:numPr>
        <w:ind w:hanging="0" w:left="0"/>
        <w:rPr/>
      </w:pPr>
      <w:r>
        <w:rPr/>
        <w:t>A. Anahtar</w:t>
      </w:r>
    </w:p>
    <w:p>
      <w:pPr>
        <w:pStyle w:val="Cit"/>
        <w:bidi w:val="0"/>
        <w:jc w:val="left"/>
        <w:rPr>
          <w:lang w:val="en-US"/>
        </w:rPr>
      </w:pPr>
      <w:r>
        <w:rPr>
          <w:lang w:val="tr-TR"/>
        </w:rPr>
        <w:t xml:space="preserve">Gökün krallığının anahtarlarını sana verecem. </w:t>
      </w:r>
    </w:p>
    <w:p>
      <w:pPr>
        <w:pStyle w:val="Normal"/>
        <w:bidi w:val="0"/>
        <w:jc w:val="left"/>
        <w:rPr>
          <w:lang w:val="en-US"/>
        </w:rPr>
      </w:pPr>
      <w:r>
        <w:rPr>
          <w:lang w:val="tr-TR"/>
        </w:rPr>
        <w:t>- anahtarlar açıyor, kapatıyor. Allahın krallığı için hangisi geçerli? Açmak mı, yoksa kapatmak mı istiyoruz. Elbette açmak isteyecez.</w:t>
      </w:r>
    </w:p>
    <w:p>
      <w:pPr>
        <w:pStyle w:val="Normal"/>
        <w:bidi w:val="0"/>
        <w:jc w:val="left"/>
        <w:rPr>
          <w:lang w:val="en-US"/>
        </w:rPr>
      </w:pPr>
      <w:r>
        <w:rPr>
          <w:lang w:val="tr-TR"/>
        </w:rPr>
        <w:t>Petrus da 3 defa açtı: (1) Yahudilere - Pentikost gününde  (2) Samiriyelilere - onları vaftzi etmekle  (3) bütün milltlere - Kornelyus'un evinde</w:t>
      </w:r>
    </w:p>
    <w:p>
      <w:pPr>
        <w:pStyle w:val="Normal"/>
        <w:bidi w:val="0"/>
        <w:jc w:val="left"/>
        <w:rPr>
          <w:lang w:val="en-US"/>
        </w:rPr>
      </w:pPr>
      <w:r>
        <w:rPr>
          <w:lang w:val="en-US"/>
        </w:rPr>
      </w:r>
    </w:p>
    <w:p>
      <w:pPr>
        <w:pStyle w:val="CitBas"/>
        <w:rPr/>
      </w:pPr>
      <w:r>
        <w:rPr/>
        <w:t xml:space="preserve">Mat 23:13 </w:t>
      </w:r>
    </w:p>
    <w:p>
      <w:pPr>
        <w:pStyle w:val="Cit"/>
        <w:rPr/>
      </w:pPr>
      <w:r>
        <w:rPr/>
        <w:t>Vay halinize kanun muallimleri ve Ferisiler, ikiyüzlüler sizi! Çünkü gökün krallığını insanlara karşı kilitliyorsunuz. Ne kendiniz giriyorsunuz, ne de girenlere veriyorsunuz girsinler.</w:t>
      </w:r>
    </w:p>
    <w:p>
      <w:pPr>
        <w:pStyle w:val="Normal"/>
        <w:bidi w:val="0"/>
        <w:jc w:val="left"/>
        <w:rPr>
          <w:lang w:val="en-US"/>
        </w:rPr>
      </w:pPr>
      <w:r>
        <w:rPr>
          <w:lang w:val="en-US"/>
        </w:rPr>
        <w:t>Luk 11:52</w:t>
      </w:r>
    </w:p>
    <w:p>
      <w:pPr>
        <w:pStyle w:val="Normal"/>
        <w:bidi w:val="0"/>
        <w:jc w:val="left"/>
        <w:rPr>
          <w:lang w:val="en-US"/>
        </w:rPr>
      </w:pPr>
      <w:r>
        <w:rPr>
          <w:lang w:val="en-US"/>
        </w:rPr>
        <w:t>Vay sizin halinize, siz kanuncular! Çünkü anlayış kapısının anahtarını alıp götürdünüz. Hem kendiniz girmediniz, hem de girmek isteyenlere engel oldunuz."</w:t>
      </w:r>
    </w:p>
    <w:p>
      <w:pPr>
        <w:pStyle w:val="Normal"/>
        <w:bidi w:val="0"/>
        <w:jc w:val="left"/>
        <w:rPr>
          <w:lang w:val="en-US"/>
        </w:rPr>
      </w:pPr>
      <w:r>
        <w:rPr>
          <w:lang w:val="tr-TR"/>
        </w:rPr>
        <w:t xml:space="preserve">Açık 3:7-8 </w:t>
      </w:r>
    </w:p>
    <w:p>
      <w:pPr>
        <w:pStyle w:val="Normal"/>
        <w:bidi w:val="0"/>
        <w:jc w:val="left"/>
        <w:rPr>
          <w:lang w:val="en-US"/>
        </w:rPr>
      </w:pPr>
      <w:r>
        <w:rPr>
          <w:lang w:val="tr-TR"/>
        </w:rPr>
        <w:t>Filadelfiya kasabasındaki topluluğun meleğine yaz: kutsal ve hakikat Olan, Davud'un anahtarına sahip Olan (hani, açtı mı, hiç kimse kapamayacak, ve kapadı mı, hiç kimse açamayacak), şöyle diyor:  8 "Ben senin işlerini biliyorum. Bak, senin önüne açık bir kapı koydum. Onu da kimse kapamayacak. Çünkü az bir kuvvetin var, ama benim sözüme sıkı tutundun ve adımı inkâr etmedin.</w:t>
      </w:r>
    </w:p>
    <w:p>
      <w:pPr>
        <w:pStyle w:val="Normal"/>
        <w:bidi w:val="0"/>
        <w:jc w:val="left"/>
        <w:rPr>
          <w:lang w:val="en-US"/>
        </w:rPr>
      </w:pPr>
      <w:r>
        <w:rPr>
          <w:lang w:val="tr-TR"/>
        </w:rPr>
        <w:t>Demek İsa Petrus'a krallığının anahtarlarını verdi... ama sonra onları geri aldı. Vahiy kitabı yazıldığı zaman Petrus 30 sene önce ölmüştü. Ve şimdi görüyoruz, anahtarların sahibi gene İsa'dır.</w:t>
      </w:r>
    </w:p>
    <w:p>
      <w:pPr>
        <w:pStyle w:val="Normal"/>
        <w:bidi w:val="0"/>
        <w:jc w:val="left"/>
        <w:rPr>
          <w:lang w:val="en-US"/>
        </w:rPr>
      </w:pPr>
      <w:r>
        <w:rPr>
          <w:lang w:val="en-US"/>
        </w:rPr>
      </w:r>
    </w:p>
    <w:p>
      <w:pPr>
        <w:pStyle w:val="Heading1"/>
        <w:numPr>
          <w:ilvl w:val="0"/>
          <w:numId w:val="2"/>
        </w:numPr>
        <w:ind w:hanging="0" w:left="0"/>
        <w:rPr/>
      </w:pPr>
      <w:r>
        <w:rPr/>
        <w:t>B. Bağlamak</w:t>
      </w:r>
    </w:p>
    <w:p>
      <w:pPr>
        <w:pStyle w:val="Normal"/>
        <w:rPr>
          <w:lang w:val="tr-TR"/>
        </w:rPr>
      </w:pPr>
      <w:r>
        <w:rPr>
          <w:lang w:val="tr-TR"/>
        </w:rPr>
      </w:r>
    </w:p>
    <w:p>
      <w:pPr>
        <w:pStyle w:val="Heading2"/>
        <w:numPr>
          <w:ilvl w:val="1"/>
          <w:numId w:val="1"/>
        </w:numPr>
        <w:ind w:hanging="0" w:left="0"/>
        <w:rPr/>
      </w:pPr>
      <w:r>
        <w:rPr/>
        <w:t>1. günahları bağışlamak veya bağışlamamak</w:t>
      </w:r>
    </w:p>
    <w:p>
      <w:pPr>
        <w:pStyle w:val="Normal"/>
        <w:rPr>
          <w:lang w:val="tr-TR"/>
        </w:rPr>
      </w:pPr>
      <w:r>
        <w:rPr>
          <w:lang w:val="tr-TR"/>
        </w:rPr>
        <w:t xml:space="preserve">yani: neyi bağlamak, çözmek: ipler, günahlarımızın bağlarını </w:t>
      </w:r>
    </w:p>
    <w:p>
      <w:pPr>
        <w:pStyle w:val="Normal"/>
        <w:rPr>
          <w:lang w:val="en-US"/>
        </w:rPr>
      </w:pPr>
      <w:r>
        <w:rPr>
          <w:lang w:val="en-US"/>
        </w:rPr>
        <w:t xml:space="preserve">- ama bu </w:t>
      </w:r>
      <w:r>
        <w:rPr>
          <w:lang w:val="tr-TR"/>
        </w:rPr>
        <w:t>gücü sadece Petrus'a değil, bütün apostollara verdi</w:t>
      </w:r>
    </w:p>
    <w:p>
      <w:pPr>
        <w:pStyle w:val="CitBas"/>
        <w:rPr/>
      </w:pPr>
      <w:r>
        <w:rPr/>
        <w:t>Yuhanna 20:22-33</w:t>
      </w:r>
    </w:p>
    <w:p>
      <w:pPr>
        <w:pStyle w:val="Cit"/>
        <w:rPr/>
      </w:pPr>
      <w:r>
        <w:rPr/>
        <w:t>Bunu söyledikten sonra onların üzerine üfürdü ve onlara dedi: "Kutsal Ruhu alın. 23 Kimin günahlarını bağışlarsanız, onlara bağışlanmış olur. Ve kimin günahlarını bağışlamazsanız, onlara bağışlanmamış olur."</w:t>
      </w:r>
    </w:p>
    <w:p>
      <w:pPr>
        <w:pStyle w:val="Normal"/>
        <w:rPr>
          <w:lang w:val="tr-TR"/>
        </w:rPr>
      </w:pPr>
      <w:r>
        <w:rPr>
          <w:lang w:val="tr-TR"/>
        </w:rPr>
      </w:r>
    </w:p>
    <w:p>
      <w:pPr>
        <w:pStyle w:val="Normal"/>
        <w:rPr>
          <w:lang w:val="en-US"/>
        </w:rPr>
      </w:pPr>
      <w:r>
        <w:rPr>
          <w:lang w:val="en-US"/>
        </w:rPr>
        <w:t xml:space="preserve">- ama bu </w:t>
      </w:r>
      <w:r>
        <w:rPr>
          <w:lang w:val="tr-TR"/>
        </w:rPr>
        <w:t>gücü sadece Petrus'a değil, bütün apostollara verdi</w:t>
      </w:r>
    </w:p>
    <w:p>
      <w:pPr>
        <w:pStyle w:val="CitBas"/>
        <w:rPr/>
      </w:pPr>
      <w:r>
        <w:rPr/>
        <w:t>Matta 18:17-20</w:t>
      </w:r>
    </w:p>
    <w:p>
      <w:pPr>
        <w:pStyle w:val="Cit"/>
        <w:rPr/>
      </w:pPr>
      <w:r>
        <w:rPr/>
        <w:t>Kardeş onları da seslemek istemezse, o vakıt meseleyi topluluğa bildir. Ve topluluğu bile seslemek istemezse, o vakıt o size bir Allahsız kişi ya da gümrükçü gibi olsun. 18 Size doğru bir şey söyleyeyim: yeryüzünde her ne bağlarsanız, o gökte de bağlanacak. Ve yeryüzünde her ne çözerseniz, o gökte de çözülecek. 19 Bir de size şunu da söyleyeyim: yeryüzünde sizden iki kişi her ne dilerseler, o mesele için aynı fikirde oldular mı, o vakıt gökte olan Babam onlar için onu yapacak. 20 Çünkü iki ya da üç kişi nerede bir araya gelirse, ben oradayım, onların arasındayım."</w:t>
      </w:r>
    </w:p>
    <w:p>
      <w:pPr>
        <w:pStyle w:val="Normal"/>
        <w:rPr>
          <w:lang w:val="tr-TR"/>
        </w:rPr>
      </w:pPr>
      <w:r>
        <w:rPr>
          <w:lang w:val="tr-TR"/>
        </w:rPr>
      </w:r>
    </w:p>
    <w:p>
      <w:pPr>
        <w:pStyle w:val="CitBas"/>
        <w:rPr/>
      </w:pPr>
      <w:r>
        <w:rPr/>
        <w:t>1.Kor 5:3-5</w:t>
      </w:r>
    </w:p>
    <w:p>
      <w:pPr>
        <w:pStyle w:val="Cit"/>
        <w:rPr/>
      </w:pPr>
      <w:r>
        <w:rPr/>
        <w:t>Ben kendim bedence aranızda bulunmasam da, ruhça sizinle birlikteyim. Ve madem sizinle birlikteyim, ben o işi yapmış olan kişiyi zaten davaladım. 4 Rabbimiz İsa Mesihin adıyla, siz ve benim ruhum bir araya toplanmış olarak, ve Rabbimiz İsa Mesihin kuvveti ile, 5 öyle bir kişiyi Şeytan'a teslim ediyoruz. Öyle ki, onun bedeni maf olsun, ama onun ruhu Rab İsa'nın gününde kurtulsun.</w:t>
      </w:r>
    </w:p>
    <w:p>
      <w:pPr>
        <w:pStyle w:val="Normal"/>
        <w:rPr>
          <w:lang w:val="tr-TR"/>
        </w:rPr>
      </w:pPr>
      <w:r>
        <w:rPr>
          <w:lang w:val="tr-TR"/>
        </w:rPr>
      </w:r>
    </w:p>
    <w:p>
      <w:pPr>
        <w:pStyle w:val="Heading2"/>
        <w:numPr>
          <w:ilvl w:val="1"/>
          <w:numId w:val="1"/>
        </w:numPr>
        <w:ind w:hanging="0" w:left="0"/>
        <w:rPr/>
      </w:pPr>
      <w:r>
        <w:rPr/>
        <w:t>2. Öğreti olarak, bir hareketi mecbur kılmak, yoksa özgürlük vermek</w:t>
      </w:r>
    </w:p>
    <w:p>
      <w:pPr>
        <w:pStyle w:val="Normal"/>
        <w:rPr>
          <w:lang w:val="en-US"/>
        </w:rPr>
      </w:pPr>
      <w:r>
        <w:rPr>
          <w:lang w:val="en-US"/>
        </w:rPr>
      </w:r>
    </w:p>
    <w:p>
      <w:pPr>
        <w:pStyle w:val="Normal"/>
        <w:rPr>
          <w:lang w:val="en-US"/>
        </w:rPr>
      </w:pPr>
      <w:r>
        <w:rPr>
          <w:lang w:val="en-US"/>
        </w:rPr>
        <w:t xml:space="preserve"> </w:t>
      </w:r>
      <w:r>
        <w:rPr>
          <w:lang w:val="en-US"/>
        </w:rPr>
        <w:t>ii. “Binding” and “loosing” were administrative terms in daily Jewish life; whenever a Jew came up against the Law of Moses, that Jewish person was either “bound” or “loosed” in regard to that law. To loose was to permit; to bind was to prohibit. To loose was to free from the law, to bind was to put under the law. “Their regular sense, which any Jew would recognize was to allow and to forbid. To bind something was to declare it forbidden; to loose was to declare it allowed. These were the regular phrases for taking decisions in regard to the law.” (Barclay)</w:t>
      </w:r>
    </w:p>
    <w:p>
      <w:pPr>
        <w:pStyle w:val="Normal"/>
        <w:rPr>
          <w:lang w:val="en-US"/>
        </w:rPr>
      </w:pPr>
      <w:r>
        <w:rPr>
          <w:lang w:val="en-US"/>
        </w:rPr>
        <w:t>iii. In daily Jewish life, this could be rather complicated. Here is one example from ancient rabbinical writings, cited by teacher Mike Russ:</w:t>
      </w:r>
    </w:p>
    <w:p>
      <w:pPr>
        <w:pStyle w:val="Normal"/>
        <w:rPr>
          <w:lang w:val="en-US"/>
        </w:rPr>
      </w:pPr>
      <w:r>
        <w:rPr>
          <w:lang w:val="en-US"/>
        </w:rPr>
        <w:t xml:space="preserve">    </w:t>
      </w:r>
      <w:r>
        <w:rPr>
          <w:lang w:val="en-US"/>
        </w:rPr>
        <w:t>If your dog dies in your house, is your house clean or unclean? Unclean.</w:t>
      </w:r>
    </w:p>
    <w:p>
      <w:pPr>
        <w:pStyle w:val="Normal"/>
        <w:rPr>
          <w:lang w:val="en-US"/>
        </w:rPr>
      </w:pPr>
      <w:r>
        <w:rPr>
          <w:lang w:val="en-US"/>
        </w:rPr>
        <w:t xml:space="preserve">    </w:t>
      </w:r>
      <w:r>
        <w:rPr>
          <w:lang w:val="en-US"/>
        </w:rPr>
        <w:t>If your dog dies outside your house, is your house clean or unclean? Clean.</w:t>
      </w:r>
    </w:p>
    <w:p>
      <w:pPr>
        <w:pStyle w:val="Normal"/>
        <w:rPr>
          <w:lang w:val="en-US"/>
        </w:rPr>
      </w:pPr>
      <w:r>
        <w:rPr>
          <w:lang w:val="en-US"/>
        </w:rPr>
        <w:t xml:space="preserve">    </w:t>
      </w:r>
      <w:r>
        <w:rPr>
          <w:lang w:val="en-US"/>
        </w:rPr>
        <w:t>If your dog dies on the doorstep, is your house clean or unclean? Ancient rabbinical writings took the issue on and decided that if the dog died with his nose pointing into the house, the house was unclean; if the dog died with his nose pointing away from the house, the house was clean.</w:t>
      </w:r>
    </w:p>
    <w:p>
      <w:pPr>
        <w:pStyle w:val="Normal"/>
        <w:rPr>
          <w:lang w:val="en-US"/>
        </w:rPr>
      </w:pPr>
      <w:r>
        <w:rPr>
          <w:lang w:val="en-US"/>
        </w:rPr>
        <w:t xml:space="preserve">iv. As their rabbi, Jesus did this binding and loosing for His own disciples. Without using the same words, this is what Jesus did when He allowed them to take the grains of wheat in the field (Matthew 12:1-8). </w:t>
      </w:r>
    </w:p>
    <w:p>
      <w:pPr>
        <w:pStyle w:val="Normal"/>
        <w:rPr>
          <w:lang w:val="en-US"/>
        </w:rPr>
      </w:pPr>
      <w:r>
        <w:rPr>
          <w:lang w:val="en-US"/>
        </w:rPr>
        <w:t>- yan</w:t>
      </w:r>
      <w:r>
        <w:rPr>
          <w:lang w:val="tr-TR"/>
        </w:rPr>
        <w:t>i: yük düşüncesi, bir hayvanın sırtına bir yükü bağlamak (= mecbur kılmak), yada çözmek (= serbest brakmak)</w:t>
      </w:r>
    </w:p>
    <w:p>
      <w:pPr>
        <w:pStyle w:val="CitBas"/>
        <w:rPr/>
      </w:pPr>
      <w:r>
        <w:rPr/>
        <w:t xml:space="preserve">Matta 23:4   </w:t>
      </w:r>
    </w:p>
    <w:p>
      <w:pPr>
        <w:pStyle w:val="Cit"/>
        <w:rPr/>
      </w:pPr>
      <w:r>
        <w:rPr/>
        <w:t>Ağır ve zor taşınan yükleri hazırlıyorlar, sonra da onları insanların omuzlarına bindiriyorlar. Kendileri gene, onları kaldırmak için bir parmak bile oynattırmıyorlar</w:t>
      </w:r>
    </w:p>
    <w:p>
      <w:pPr>
        <w:pStyle w:val="CitBas"/>
        <w:rPr/>
      </w:pPr>
      <w:r>
        <w:rPr/>
        <w:t>Apo 15:28-29</w:t>
      </w:r>
    </w:p>
    <w:p>
      <w:pPr>
        <w:pStyle w:val="Cit"/>
        <w:rPr/>
      </w:pPr>
      <w:r>
        <w:rPr/>
        <w:t>Evet, Kutsal Ruh'a ve bize uygun göründü, üzerinize fazla yük koymayalım; sade şu mecbur olan şeyler: 29 - Putlara adanmış şeylerden, - kandan, - boğulmuş hayvanların etinden, - hem de zinadan uzak durasınız. Kendinizi bunlardan ırak tuttunuz mu, iyi yapacanız. Hoşçakalın!"</w:t>
      </w:r>
    </w:p>
    <w:p>
      <w:pPr>
        <w:pStyle w:val="Normal"/>
        <w:rPr>
          <w:lang w:val="en-US"/>
        </w:rPr>
      </w:pPr>
      <w:r>
        <w:rPr>
          <w:lang w:val="en-US"/>
        </w:rPr>
        <w:t>- burada bu karar</w:t>
      </w:r>
      <w:r>
        <w:rPr>
          <w:lang w:val="tr-TR"/>
        </w:rPr>
        <w:t>ı veren bütün konsey, sadece Petrus değil, hatta Yakup daha fazla söz sahibi</w:t>
      </w:r>
    </w:p>
    <w:p>
      <w:pPr>
        <w:pStyle w:val="Heading1"/>
        <w:numPr>
          <w:ilvl w:val="0"/>
          <w:numId w:val="2"/>
        </w:numPr>
        <w:ind w:hanging="0" w:left="0"/>
        <w:rPr/>
      </w:pPr>
      <w:r>
        <w:rPr>
          <w:lang w:val="en-US"/>
        </w:rPr>
        <w:t>C</w:t>
      </w:r>
      <w:r>
        <w:rPr/>
        <w:t>. Susmak </w:t>
      </w:r>
    </w:p>
    <w:p>
      <w:pPr>
        <w:pStyle w:val="Normal"/>
        <w:bidi w:val="0"/>
        <w:spacing w:before="0" w:after="113"/>
        <w:jc w:val="left"/>
        <w:rPr>
          <w:lang w:val="en-US"/>
        </w:rPr>
      </w:pPr>
      <w:r>
        <w:rPr>
          <w:lang w:val="en-US"/>
        </w:rPr>
        <w:t>Burada s</w:t>
      </w:r>
      <w:r>
        <w:rPr>
          <w:lang w:val="tr-TR"/>
        </w:rPr>
        <w:t>ö</w:t>
      </w:r>
      <w:r>
        <w:rPr>
          <w:lang w:val="en-US"/>
        </w:rPr>
        <w:t xml:space="preserve">z konusu olmuyor cehennem </w:t>
      </w:r>
      <w:r>
        <w:rPr>
          <w:lang w:val="tr-TR"/>
        </w:rPr>
        <w:t>için -</w:t>
      </w:r>
      <w:r>
        <w:rPr>
          <w:lang w:val="en-US"/>
        </w:rPr>
        <w:t xml:space="preserve"> ama Hades</w:t>
      </w:r>
      <w:r>
        <w:rPr>
          <w:lang w:val="tr-TR"/>
        </w:rPr>
        <w:t xml:space="preserve">, Şeol dedikleri ölüler diyarı, </w:t>
      </w:r>
    </w:p>
    <w:sectPr>
      <w:footerReference w:type="even" r:id="rId2"/>
      <w:footerReference w:type="default" r:id="rId3"/>
      <w:footerReference w:type="first" r:id="rId4"/>
      <w:type w:val="nextPage"/>
      <w:pgSz w:w="11906" w:h="16838"/>
      <w:pgMar w:left="1134" w:right="1134" w:gutter="0" w:header="0" w:top="1134" w:footer="1134" w:bottom="1809"/>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rebuchet MS">
    <w:charset w:val="cc"/>
    <w:family w:val="swiss"/>
    <w:pitch w:val="variable"/>
  </w:font>
  <w:font w:name="OpenSymbol">
    <w:altName w:val="Arial Unicode MS"/>
    <w:charset w:val="cc"/>
    <w:family w:val="roman"/>
    <w:pitch w:val="variable"/>
  </w:font>
  <w:font w:name="Segoe UI Semibold">
    <w:charset w:val="cc"/>
    <w:family w:val="roman"/>
    <w:pitch w:val="variable"/>
  </w:font>
  <w:font w:name="Liberation Sans">
    <w:altName w:val="Arial"/>
    <w:charset w:val="cc"/>
    <w:family w:val="swiss"/>
    <w:pitch w:val="variable"/>
  </w:font>
  <w:font w:name="Arial">
    <w:charset w:val="cc"/>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113"/>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113"/>
      <w:jc w:val="center"/>
      <w:rPr/>
    </w:pPr>
    <w:r>
      <w:rPr/>
      <w:fldChar w:fldCharType="begin"/>
    </w:r>
    <w:r>
      <w:rPr/>
      <w:instrText xml:space="preserve"> PAGE </w:instrText>
    </w:r>
    <w:r>
      <w:rPr/>
      <w:fldChar w:fldCharType="separate"/>
    </w:r>
    <w:r>
      <w:rPr/>
      <w:t>3</w:t>
    </w:r>
    <w:r>
      <w:rPr/>
      <w:fldChar w:fldCharType="end"/>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113"/>
      <w:jc w:val="center"/>
      <w:rPr/>
    </w:pPr>
    <w:r>
      <w:rPr/>
      <w:fldChar w:fldCharType="begin"/>
    </w:r>
    <w:r>
      <w:rPr/>
      <w:instrText xml:space="preserve"> PAGE </w:instrText>
    </w:r>
    <w:r>
      <w:rPr/>
      <w:fldChar w:fldCharType="separate"/>
    </w:r>
    <w:r>
      <w:rPr/>
      <w:t>3</w:t>
    </w:r>
    <w:r>
      <w:rPr/>
      <w:fldChar w:fldCharType="end"/>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1"/>
      <w:lvlJc w:val="left"/>
      <w:pPr>
        <w:tabs>
          <w:tab w:val="num" w:pos="0"/>
        </w:tabs>
        <w:ind w:left="0" w:hanging="0"/>
      </w:pPr>
      <w:rPr/>
    </w:lvl>
    <w:lvl w:ilvl="1">
      <w:start w:val="1"/>
      <w:numFmt w:val="none"/>
      <w:suff w:val="nothing"/>
      <w:lvlText w:val="%2"/>
      <w:lvlJc w:val="left"/>
      <w:pPr>
        <w:tabs>
          <w:tab w:val="num" w:pos="0"/>
        </w:tabs>
        <w:ind w:left="0" w:hanging="0"/>
      </w:pPr>
      <w:rPr/>
    </w:lvl>
    <w:lvl w:ilvl="2">
      <w:start w:val="1"/>
      <w:numFmt w:val="none"/>
      <w:suff w:val="nothing"/>
      <w:lvlText w:val="%3"/>
      <w:lvlJc w:val="left"/>
      <w:pPr>
        <w:tabs>
          <w:tab w:val="num" w:pos="0"/>
        </w:tabs>
        <w:ind w:left="0" w:hanging="0"/>
      </w:pPr>
      <w:rPr/>
    </w:lvl>
    <w:lvl w:ilvl="3">
      <w:start w:val="1"/>
      <w:numFmt w:val="none"/>
      <w:suff w:val="nothing"/>
      <w:lvlText w:val="%4"/>
      <w:lvlJc w:val="left"/>
      <w:pPr>
        <w:tabs>
          <w:tab w:val="num" w:pos="0"/>
        </w:tabs>
        <w:ind w:left="0" w:hanging="0"/>
      </w:pPr>
      <w:rPr/>
    </w:lvl>
    <w:lvl w:ilvl="4">
      <w:start w:val="1"/>
      <w:numFmt w:val="none"/>
      <w:suff w:val="nothing"/>
      <w:lvlText w:val="%5"/>
      <w:lvlJc w:val="left"/>
      <w:pPr>
        <w:tabs>
          <w:tab w:val="num" w:pos="0"/>
        </w:tabs>
        <w:ind w:left="0" w:hanging="0"/>
      </w:pPr>
      <w:rPr/>
    </w:lvl>
    <w:lvl w:ilvl="5">
      <w:start w:val="1"/>
      <w:numFmt w:val="none"/>
      <w:suff w:val="nothing"/>
      <w:lvlText w:val="%6"/>
      <w:lvlJc w:val="left"/>
      <w:pPr>
        <w:tabs>
          <w:tab w:val="num" w:pos="0"/>
        </w:tabs>
        <w:ind w:left="0" w:hanging="0"/>
      </w:pPr>
      <w:rPr/>
    </w:lvl>
    <w:lvl w:ilvl="6">
      <w:start w:val="1"/>
      <w:numFmt w:val="none"/>
      <w:suff w:val="nothing"/>
      <w:lvlText w:val="%7"/>
      <w:lvlJc w:val="left"/>
      <w:pPr>
        <w:tabs>
          <w:tab w:val="num" w:pos="0"/>
        </w:tabs>
        <w:ind w:left="0" w:hanging="0"/>
      </w:pPr>
      <w:rPr/>
    </w:lvl>
    <w:lvl w:ilvl="7">
      <w:start w:val="1"/>
      <w:numFmt w:val="none"/>
      <w:suff w:val="nothing"/>
      <w:lvlText w:val="%8"/>
      <w:lvlJc w:val="left"/>
      <w:pPr>
        <w:tabs>
          <w:tab w:val="num" w:pos="0"/>
        </w:tabs>
        <w:ind w:left="0" w:hanging="0"/>
      </w:pPr>
      <w:rPr/>
    </w:lvl>
    <w:lvl w:ilvl="8">
      <w:start w:val="1"/>
      <w:numFmt w:val="none"/>
      <w:suff w:val="nothing"/>
      <w:lvlText w:val="%9"/>
      <w:lvlJc w:val="left"/>
      <w:pPr>
        <w:tabs>
          <w:tab w:val="num" w:pos="0"/>
        </w:tabs>
        <w:ind w:left="0" w:hanging="0"/>
      </w:pPr>
      <w:rPr/>
    </w:lvl>
  </w:abstractNum>
  <w:abstractNum w:abstractNumId="2">
    <w:lvl w:ilvl="0">
      <w:start w:val="1"/>
      <w:numFmt w:val="none"/>
      <w:suff w:val="nothing"/>
      <w:lvlText w:val="%1"/>
      <w:lvlJc w:val="left"/>
      <w:pPr>
        <w:tabs>
          <w:tab w:val="num" w:pos="0"/>
        </w:tabs>
        <w:ind w:left="0" w:hanging="0"/>
      </w:pPr>
      <w:rPr/>
    </w:lvl>
    <w:lvl w:ilvl="1">
      <w:start w:val="1"/>
      <w:numFmt w:val="none"/>
      <w:suff w:val="nothing"/>
      <w:lvlText w:val="%2"/>
      <w:lvlJc w:val="left"/>
      <w:pPr>
        <w:tabs>
          <w:tab w:val="num" w:pos="0"/>
        </w:tabs>
        <w:ind w:left="0" w:hanging="0"/>
      </w:pPr>
      <w:rPr/>
    </w:lvl>
    <w:lvl w:ilvl="2">
      <w:start w:val="1"/>
      <w:numFmt w:val="none"/>
      <w:suff w:val="nothing"/>
      <w:lvlText w:val="%3"/>
      <w:lvlJc w:val="left"/>
      <w:pPr>
        <w:tabs>
          <w:tab w:val="num" w:pos="0"/>
        </w:tabs>
        <w:ind w:left="0" w:hanging="0"/>
      </w:pPr>
      <w:rPr/>
    </w:lvl>
    <w:lvl w:ilvl="3">
      <w:start w:val="1"/>
      <w:numFmt w:val="none"/>
      <w:suff w:val="nothing"/>
      <w:lvlText w:val="%4"/>
      <w:lvlJc w:val="left"/>
      <w:pPr>
        <w:tabs>
          <w:tab w:val="num" w:pos="0"/>
        </w:tabs>
        <w:ind w:left="0" w:hanging="0"/>
      </w:pPr>
      <w:rPr/>
    </w:lvl>
    <w:lvl w:ilvl="4">
      <w:start w:val="1"/>
      <w:numFmt w:val="none"/>
      <w:suff w:val="nothing"/>
      <w:lvlText w:val="%5"/>
      <w:lvlJc w:val="left"/>
      <w:pPr>
        <w:tabs>
          <w:tab w:val="num" w:pos="0"/>
        </w:tabs>
        <w:ind w:left="0" w:hanging="0"/>
      </w:pPr>
      <w:rPr/>
    </w:lvl>
    <w:lvl w:ilvl="5">
      <w:start w:val="1"/>
      <w:numFmt w:val="none"/>
      <w:suff w:val="nothing"/>
      <w:lvlText w:val="%6"/>
      <w:lvlJc w:val="left"/>
      <w:pPr>
        <w:tabs>
          <w:tab w:val="num" w:pos="0"/>
        </w:tabs>
        <w:ind w:left="0" w:hanging="0"/>
      </w:pPr>
      <w:rPr/>
    </w:lvl>
    <w:lvl w:ilvl="6">
      <w:start w:val="1"/>
      <w:numFmt w:val="none"/>
      <w:suff w:val="nothing"/>
      <w:lvlText w:val="%7"/>
      <w:lvlJc w:val="left"/>
      <w:pPr>
        <w:tabs>
          <w:tab w:val="num" w:pos="0"/>
        </w:tabs>
        <w:ind w:left="0" w:hanging="0"/>
      </w:pPr>
      <w:rPr/>
    </w:lvl>
    <w:lvl w:ilvl="7">
      <w:start w:val="1"/>
      <w:numFmt w:val="none"/>
      <w:suff w:val="nothing"/>
      <w:lvlText w:val="%8"/>
      <w:lvlJc w:val="left"/>
      <w:pPr>
        <w:tabs>
          <w:tab w:val="num" w:pos="0"/>
        </w:tabs>
        <w:ind w:left="0" w:hanging="0"/>
      </w:pPr>
      <w:rPr/>
    </w:lvl>
    <w:lvl w:ilvl="8">
      <w:start w:val="1"/>
      <w:numFmt w:val="none"/>
      <w:suff w:val="nothing"/>
      <w:lvlText w:val="%9"/>
      <w:lvlJc w:val="left"/>
      <w:pPr>
        <w:tabs>
          <w:tab w:val="num" w:pos="0"/>
        </w:tabs>
        <w:ind w:left="0" w:hanging="0"/>
      </w:pPr>
      <w:rPr/>
    </w:lvl>
  </w:abstractNum>
  <w:abstractNum w:abstractNumId="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defaultTabStop w:val="709"/>
  <w:autoHyphenation w:val="true"/>
  <w:hyphenationZone w:val="0"/>
  <w:compat>
    <w:doNotBreakWrappedTables/>
    <w:compatSetting w:name="compatibilityMode" w:uri="http://schemas.microsoft.com/office/word" w:val="12"/>
    <w:compatSetting w:name="useWord2013TrackBottomHyphenation" w:uri="http://schemas.microsoft.com/office/word" w:val="1"/>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4"/>
        <w:szCs w:val="24"/>
        <w:lang w:val="bg-BG" w:eastAsia="zh-CN" w:bidi="hi-IN"/>
      </w:rPr>
    </w:rPrDefault>
    <w:pPrDefault>
      <w:pPr>
        <w:suppressAutoHyphens w:val="true"/>
      </w:pPr>
    </w:pPrDefault>
  </w:docDefaults>
  <w:style w:type="paragraph" w:styleId="Normal">
    <w:name w:val="Normal"/>
    <w:qFormat/>
    <w:pPr>
      <w:widowControl/>
      <w:suppressAutoHyphens w:val="true"/>
      <w:overflowPunct w:val="true"/>
      <w:bidi w:val="0"/>
      <w:spacing w:before="0" w:after="113"/>
      <w:jc w:val="left"/>
    </w:pPr>
    <w:rPr>
      <w:rFonts w:ascii="Trebuchet MS" w:hAnsi="Trebuchet MS" w:eastAsia="NSimSun" w:cs="Arial"/>
      <w:color w:val="auto"/>
      <w:kern w:val="2"/>
      <w:sz w:val="24"/>
      <w:szCs w:val="24"/>
      <w:lang w:val="tr-TR" w:eastAsia="zh-CN" w:bidi="hi-IN"/>
    </w:rPr>
  </w:style>
  <w:style w:type="paragraph" w:styleId="Heading1">
    <w:name w:val="heading 1"/>
    <w:basedOn w:val="Heading"/>
    <w:next w:val="BodyText"/>
    <w:qFormat/>
    <w:pPr>
      <w:numPr>
        <w:ilvl w:val="0"/>
        <w:numId w:val="2"/>
      </w:numPr>
      <w:spacing w:before="240" w:after="120"/>
      <w:outlineLvl w:val="0"/>
    </w:pPr>
    <w:rPr>
      <w:b/>
      <w:bCs/>
      <w:sz w:val="36"/>
      <w:szCs w:val="36"/>
    </w:rPr>
  </w:style>
  <w:style w:type="paragraph" w:styleId="Heading2">
    <w:name w:val="heading 2"/>
    <w:basedOn w:val="Heading"/>
    <w:next w:val="BodyText"/>
    <w:qFormat/>
    <w:pPr>
      <w:numPr>
        <w:ilvl w:val="1"/>
        <w:numId w:val="1"/>
      </w:numPr>
      <w:spacing w:before="200" w:after="120"/>
      <w:outlineLvl w:val="1"/>
    </w:pPr>
    <w:rPr>
      <w:b/>
      <w:bCs/>
      <w:sz w:val="32"/>
      <w:szCs w:val="32"/>
    </w:rPr>
  </w:style>
  <w:style w:type="paragraph" w:styleId="Heading3">
    <w:name w:val="heading 3"/>
    <w:basedOn w:val="Heading"/>
    <w:next w:val="BodyText"/>
    <w:qFormat/>
    <w:pPr>
      <w:numPr>
        <w:ilvl w:val="2"/>
        <w:numId w:val="1"/>
      </w:numPr>
      <w:spacing w:before="140" w:after="120"/>
      <w:outlineLvl w:val="2"/>
    </w:pPr>
    <w:rPr>
      <w:b/>
      <w:bCs/>
      <w:sz w:val="28"/>
      <w:szCs w:val="28"/>
    </w:rPr>
  </w:style>
  <w:style w:type="character" w:styleId="Bulletsuser">
    <w:name w:val="Bullets (user)"/>
    <w:qFormat/>
    <w:rPr>
      <w:rFonts w:ascii="OpenSymbol" w:hAnsi="OpenSymbol" w:eastAsia="OpenSymbol" w:cs="OpenSymbol"/>
    </w:rPr>
  </w:style>
  <w:style w:type="character" w:styleId="DefaultParagraphFont">
    <w:name w:val="Default Paragraph Font"/>
    <w:qFormat/>
    <w:rPr/>
  </w:style>
  <w:style w:type="character" w:styleId="A">
    <w:name w:val="A"/>
    <w:basedOn w:val="DefaultParagraphFont"/>
    <w:qFormat/>
    <w:rPr>
      <w:color w:val="0000FF"/>
      <w:u w:val="single"/>
    </w:rPr>
  </w:style>
  <w:style w:type="character" w:styleId="B">
    <w:name w:val="B"/>
    <w:basedOn w:val="DefaultParagraphFont"/>
    <w:qFormat/>
    <w:rPr>
      <w:b/>
      <w:bCs/>
    </w:rPr>
  </w:style>
  <w:style w:type="character" w:styleId="CODE">
    <w:name w:val="CODE"/>
    <w:basedOn w:val="DefaultParagraphFont"/>
    <w:qFormat/>
    <w:rPr>
      <w:rFonts w:ascii="Segoe UI Semibold" w:hAnsi="Segoe UI Semibold" w:cs="Segoe UI Semibold"/>
    </w:rPr>
  </w:style>
  <w:style w:type="character" w:styleId="DEL">
    <w:name w:val="DEL"/>
    <w:basedOn w:val="DefaultParagraphFont"/>
    <w:qFormat/>
    <w:rPr>
      <w:strike/>
    </w:rPr>
  </w:style>
  <w:style w:type="character" w:styleId="EM">
    <w:name w:val="EM"/>
    <w:basedOn w:val="DefaultParagraphFont"/>
    <w:qFormat/>
    <w:rPr>
      <w:i/>
      <w:iCs/>
    </w:rPr>
  </w:style>
  <w:style w:type="character" w:styleId="I">
    <w:name w:val="I"/>
    <w:basedOn w:val="DefaultParagraphFont"/>
    <w:qFormat/>
    <w:rPr>
      <w:i/>
      <w:iCs/>
    </w:rPr>
  </w:style>
  <w:style w:type="character" w:styleId="INS">
    <w:name w:val="INS"/>
    <w:basedOn w:val="DefaultParagraphFont"/>
    <w:qFormat/>
    <w:rPr>
      <w:u w:val="single"/>
    </w:rPr>
  </w:style>
  <w:style w:type="character" w:styleId="KBD">
    <w:name w:val="KBD"/>
    <w:basedOn w:val="DefaultParagraphFont"/>
    <w:qFormat/>
    <w:rPr>
      <w:rFonts w:ascii="Segoe UI Semibold" w:hAnsi="Segoe UI Semibold" w:cs="Segoe UI Semibold"/>
    </w:rPr>
  </w:style>
  <w:style w:type="character" w:styleId="MARK">
    <w:name w:val="MARK"/>
    <w:basedOn w:val="DefaultParagraphFont"/>
    <w:qFormat/>
    <w:rPr>
      <w:shd w:fill="FFFF00" w:val="clear"/>
    </w:rPr>
  </w:style>
  <w:style w:type="character" w:styleId="S">
    <w:name w:val="S"/>
    <w:basedOn w:val="DefaultParagraphFont"/>
    <w:qFormat/>
    <w:rPr>
      <w:strike/>
    </w:rPr>
  </w:style>
  <w:style w:type="character" w:styleId="SAMP">
    <w:name w:val="SAMP"/>
    <w:basedOn w:val="DefaultParagraphFont"/>
    <w:qFormat/>
    <w:rPr>
      <w:rFonts w:ascii="Segoe UI Semibold" w:hAnsi="Segoe UI Semibold" w:cs="Segoe UI Semibold"/>
    </w:rPr>
  </w:style>
  <w:style w:type="character" w:styleId="STRIKE">
    <w:name w:val="STRIKE"/>
    <w:basedOn w:val="DefaultParagraphFont"/>
    <w:qFormat/>
    <w:rPr>
      <w:strike/>
    </w:rPr>
  </w:style>
  <w:style w:type="character" w:styleId="STRONG">
    <w:name w:val="STRONG"/>
    <w:basedOn w:val="DefaultParagraphFont"/>
    <w:qFormat/>
    <w:rPr>
      <w:b/>
      <w:bCs/>
    </w:rPr>
  </w:style>
  <w:style w:type="character" w:styleId="TT">
    <w:name w:val="TT"/>
    <w:basedOn w:val="DefaultParagraphFont"/>
    <w:qFormat/>
    <w:rPr>
      <w:rFonts w:ascii="Segoe UI Semibold" w:hAnsi="Segoe UI Semibold" w:cs="Segoe UI Semibold"/>
    </w:rPr>
  </w:style>
  <w:style w:type="character" w:styleId="U">
    <w:name w:val="U"/>
    <w:basedOn w:val="DefaultParagraphFont"/>
    <w:qFormat/>
    <w:rPr>
      <w:u w:val="single"/>
    </w:rPr>
  </w:style>
  <w:style w:type="paragraph" w:styleId="Heading">
    <w:name w:val="Heading"/>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Cit">
    <w:name w:val="Cit"/>
    <w:basedOn w:val="Normal"/>
    <w:qFormat/>
    <w:pPr>
      <w:spacing w:before="0" w:after="113"/>
      <w:ind w:hanging="0" w:left="543" w:right="870"/>
    </w:pPr>
    <w:rPr>
      <w:color w:val="000099"/>
    </w:rPr>
  </w:style>
  <w:style w:type="paragraph" w:styleId="CitBas">
    <w:name w:val="CitBas"/>
    <w:basedOn w:val="Cit"/>
    <w:qFormat/>
    <w:pPr>
      <w:spacing w:before="113" w:after="0"/>
    </w:pPr>
    <w:rPr>
      <w:b/>
      <w:bCs/>
      <w:color w:val="006400"/>
    </w:rPr>
  </w:style>
  <w:style w:type="paragraph" w:styleId="Normal1">
    <w:name w:val="[Normal]"/>
    <w:qFormat/>
    <w:pPr>
      <w:widowControl w:val="false"/>
      <w:suppressAutoHyphens w:val="true"/>
      <w:overflowPunct w:val="true"/>
      <w:bidi w:val="0"/>
      <w:spacing w:before="0" w:after="0"/>
      <w:jc w:val="left"/>
    </w:pPr>
    <w:rPr>
      <w:rFonts w:ascii="Arial" w:hAnsi="Arial" w:eastAsia="Georgia" w:cs="Arial"/>
      <w:color w:val="auto"/>
      <w:kern w:val="2"/>
      <w:sz w:val="24"/>
      <w:szCs w:val="24"/>
      <w:lang w:val="bg-BG" w:eastAsia="zh-CN" w:bidi="hi-IN"/>
    </w:rPr>
  </w:style>
  <w:style w:type="paragraph" w:styleId="BODY">
    <w:name w:val="BODY"/>
    <w:basedOn w:val="Normal1"/>
    <w:qFormat/>
    <w:pPr>
      <w:widowControl/>
      <w:bidi w:val="0"/>
      <w:ind w:hanging="0" w:left="0" w:right="0"/>
      <w:jc w:val="left"/>
    </w:pPr>
    <w:rPr>
      <w:rFonts w:ascii="Segoe UI Semibold" w:hAnsi="Segoe UI Semibold" w:cs="Segoe UI Semibold"/>
      <w:color w:val="CFCFCF"/>
      <w:sz w:val="28"/>
      <w:szCs w:val="28"/>
    </w:rPr>
  </w:style>
  <w:style w:type="paragraph" w:styleId="HeaderandFooter">
    <w:name w:val="Header and Footer"/>
    <w:basedOn w:val="Normal"/>
    <w:qFormat/>
    <w:pPr>
      <w:suppressLineNumbers/>
      <w:tabs>
        <w:tab w:val="clear" w:pos="709"/>
        <w:tab w:val="center" w:pos="4819" w:leader="none"/>
        <w:tab w:val="right" w:pos="9638" w:leader="none"/>
      </w:tabs>
    </w:pPr>
    <w:rPr/>
  </w:style>
  <w:style w:type="paragraph" w:styleId="Footer">
    <w:name w:val="footer"/>
    <w:basedOn w:val="HeaderandFooter"/>
    <w:pPr>
      <w:suppressLineNumber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5265</TotalTime>
  <Application>LibreOffice/25.8.3.2$Windows_X86_64 LibreOffice_project/8ca8d55c161d602844f5428fa4b58097424e324e</Application>
  <AppVersion>15.0000</AppVersion>
  <Pages>3</Pages>
  <Words>811</Words>
  <Characters>4363</Characters>
  <CharactersWithSpaces>5159</CharactersWithSpaces>
  <Paragraphs>43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2026-02-03T06:13:06Z</dcterms:created>
  <dc:creator/>
  <dc:description/>
  <dc:language>bg-BG</dc:language>
  <cp:lastModifiedBy/>
  <dcterms:modified xsi:type="dcterms:W3CDTF">2026-03-15T01:35:32Z</dcterms:modified>
  <cp:revision>50</cp:revision>
  <dc:subject/>
  <dc:title/>
</cp:coreProperties>
</file>

<file path=docProps/custom.xml><?xml version="1.0" encoding="utf-8"?>
<Properties xmlns="http://schemas.openxmlformats.org/officeDocument/2006/custom-properties" xmlns:vt="http://schemas.openxmlformats.org/officeDocument/2006/docPropsVTypes"/>
</file>